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7171"/>
      </w:tblGrid>
      <w:tr w:rsidR="00F21FBA" w:rsidRPr="005F2EE7" w:rsidTr="0089608D">
        <w:tc>
          <w:tcPr>
            <w:tcW w:w="3964" w:type="dxa"/>
          </w:tcPr>
          <w:p w:rsidR="0089608D" w:rsidRPr="005F2EE7" w:rsidRDefault="00905C3C">
            <w:pPr>
              <w:rPr>
                <w:rFonts w:ascii="Arial Narrow" w:hAnsi="Arial Narrow"/>
                <w:b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i/>
                <w:color w:val="1F3864" w:themeColor="accent1" w:themeShade="80"/>
                <w:sz w:val="23"/>
                <w:szCs w:val="23"/>
              </w:rPr>
              <w:t xml:space="preserve">Early Years Outcomes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 xml:space="preserve">The main Early Years Outcomes covered in the Athletics units are: </w:t>
            </w:r>
          </w:p>
          <w:p w:rsidR="00DA257A" w:rsidRPr="005F2EE7" w:rsidRDefault="00DA257A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</w:p>
          <w:p w:rsidR="0089608D" w:rsidRPr="005F2EE7" w:rsidRDefault="00905C3C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>• Shows increasing control over an object in pushing, patting, throwing, catching or kicking it. (PD – M&amp;H 40-60)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 xml:space="preserve">• Children show good control and co-ordination in large and small movements. (PD – M&amp;H ELG)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 xml:space="preserve">• Negotiates space successfully when playing racing and chasing games with other children, adjusting speed or changing direction to avoid obstacles. (PD M&amp;H 40-60)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 xml:space="preserve">• Experiments with different ways of moving. (PD M&amp;H 40-60) </w:t>
            </w:r>
          </w:p>
          <w:p w:rsidR="00D942A8" w:rsidRPr="005F2EE7" w:rsidRDefault="00905C3C">
            <w:pPr>
              <w:rPr>
                <w:rFonts w:ascii="Arial Narrow" w:hAnsi="Arial Narrow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1F3864" w:themeColor="accent1" w:themeShade="80"/>
                <w:sz w:val="23"/>
                <w:szCs w:val="23"/>
              </w:rPr>
              <w:t>• They move confidently in a range of ways, safely negotiating space. (PD M&amp;H ELG)</w:t>
            </w:r>
          </w:p>
        </w:tc>
        <w:tc>
          <w:tcPr>
            <w:tcW w:w="4253" w:type="dxa"/>
          </w:tcPr>
          <w:p w:rsidR="0089608D" w:rsidRPr="005F2EE7" w:rsidRDefault="00905C3C">
            <w:pPr>
              <w:rPr>
                <w:rFonts w:ascii="Arial Narrow" w:hAnsi="Arial Narrow"/>
                <w:b/>
                <w:i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i/>
                <w:color w:val="2F5496" w:themeColor="accent1" w:themeShade="BF"/>
                <w:sz w:val="23"/>
                <w:szCs w:val="23"/>
              </w:rPr>
              <w:t xml:space="preserve">KS1 National Curriculum Aims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>Pupils should develop fundamental movement skills, become increasingly competent and confident and access a broad range of oppor</w:t>
            </w:r>
            <w:bookmarkStart w:id="0" w:name="_GoBack"/>
            <w:bookmarkEnd w:id="0"/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 xml:space="preserve">tunities to extend their agility, balance and coordination, individually and with others. </w:t>
            </w:r>
          </w:p>
          <w:p w:rsidR="00DA257A" w:rsidRPr="005F2EE7" w:rsidRDefault="00DA257A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</w:p>
          <w:p w:rsidR="0089608D" w:rsidRPr="005F2EE7" w:rsidRDefault="00905C3C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 xml:space="preserve">They should be able to engage in competitive (both against self and against others) and co-operative physical activities, in a range of increasingly challenging situations. </w:t>
            </w:r>
          </w:p>
          <w:p w:rsidR="00DA257A" w:rsidRPr="005F2EE7" w:rsidRDefault="00DA257A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</w:p>
          <w:p w:rsidR="0089608D" w:rsidRPr="005F2EE7" w:rsidRDefault="00905C3C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 xml:space="preserve">Pupils should be taught to: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 xml:space="preserve">• master basic movements including running, jumping, throwing and catching, as well as developing balance, agility and co-ordination, and begin to apply these in a range of activities; </w:t>
            </w:r>
          </w:p>
          <w:p w:rsidR="00D942A8" w:rsidRPr="005F2EE7" w:rsidRDefault="00905C3C">
            <w:pPr>
              <w:rPr>
                <w:rFonts w:ascii="Arial Narrow" w:hAnsi="Arial Narrow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2F5496" w:themeColor="accent1" w:themeShade="BF"/>
                <w:sz w:val="23"/>
                <w:szCs w:val="23"/>
              </w:rPr>
              <w:t>• participate in team games, developing simple tactics for attacking and defending.</w:t>
            </w:r>
          </w:p>
        </w:tc>
        <w:tc>
          <w:tcPr>
            <w:tcW w:w="7171" w:type="dxa"/>
          </w:tcPr>
          <w:p w:rsidR="0089608D" w:rsidRPr="005F2EE7" w:rsidRDefault="00905C3C">
            <w:pPr>
              <w:rPr>
                <w:rFonts w:ascii="Arial Narrow" w:hAnsi="Arial Narrow"/>
                <w:b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i/>
                <w:color w:val="8EAADB" w:themeColor="accent1" w:themeTint="99"/>
                <w:sz w:val="23"/>
                <w:szCs w:val="23"/>
              </w:rPr>
              <w:t xml:space="preserve">KS2 National Curriculum Aims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Pupils should continue to apply and develop a broader range of skills, learning how to use them in different ways and to link them to make actions and sequences of movement. </w:t>
            </w:r>
          </w:p>
          <w:p w:rsidR="00DA257A" w:rsidRPr="005F2EE7" w:rsidRDefault="00DA257A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They should enjoy communicating, collaborating and </w:t>
            </w:r>
            <w:proofErr w:type="gramStart"/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>competing with each other</w:t>
            </w:r>
            <w:proofErr w:type="gramEnd"/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>. They should develop an understanding of how to improve in different physical activities and sports and learn how to evaluate and recognise their own success.</w:t>
            </w:r>
          </w:p>
          <w:p w:rsidR="00DA257A" w:rsidRPr="005F2EE7" w:rsidRDefault="00DA257A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Pupils should be taught to: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• use running, jumping, throwing and catching in isolation and in combination;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• play competitive games, modified where appropriate [for example, badminton, basketball, cricket, football, hockey, netball, rounders and tennis], and apply basic principles suitable for attacking and defending; </w:t>
            </w:r>
          </w:p>
          <w:p w:rsidR="0089608D" w:rsidRPr="005F2EE7" w:rsidRDefault="00905C3C">
            <w:pPr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 xml:space="preserve">• develop flexibility, strength, technique, control and balance [for example, through athletics and gymnastics]; </w:t>
            </w:r>
          </w:p>
          <w:p w:rsidR="00D942A8" w:rsidRPr="005F2EE7" w:rsidRDefault="00905C3C">
            <w:pPr>
              <w:rPr>
                <w:rFonts w:ascii="Arial Narrow" w:hAnsi="Arial Narrow"/>
                <w:sz w:val="23"/>
                <w:szCs w:val="23"/>
              </w:rPr>
            </w:pPr>
            <w:r w:rsidRPr="005F2EE7">
              <w:rPr>
                <w:rFonts w:ascii="Arial Narrow" w:hAnsi="Arial Narrow"/>
                <w:i/>
                <w:color w:val="8EAADB" w:themeColor="accent1" w:themeTint="99"/>
                <w:sz w:val="23"/>
                <w:szCs w:val="23"/>
              </w:rPr>
              <w:t>• compare their performances with previous ones and demonstrate improvement to achieve their personal best.</w:t>
            </w:r>
          </w:p>
        </w:tc>
      </w:tr>
    </w:tbl>
    <w:p w:rsidR="00DA257A" w:rsidRPr="005F2EE7" w:rsidRDefault="00DA257A">
      <w:pPr>
        <w:rPr>
          <w:sz w:val="23"/>
          <w:szCs w:val="23"/>
        </w:rPr>
      </w:pPr>
      <w:bookmarkStart w:id="1" w:name="_Hlk15410086"/>
      <w:r w:rsidRPr="005F2EE7">
        <w:rPr>
          <w:sz w:val="23"/>
          <w:szCs w:val="23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992"/>
        <w:gridCol w:w="1559"/>
        <w:gridCol w:w="1134"/>
        <w:gridCol w:w="993"/>
        <w:gridCol w:w="1417"/>
        <w:gridCol w:w="284"/>
        <w:gridCol w:w="2268"/>
        <w:gridCol w:w="3060"/>
      </w:tblGrid>
      <w:tr w:rsidR="00F21FBA" w:rsidRPr="005F2EE7" w:rsidTr="00DA257A">
        <w:tc>
          <w:tcPr>
            <w:tcW w:w="1555" w:type="dxa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lastRenderedPageBreak/>
              <w:t>Reception</w:t>
            </w:r>
          </w:p>
        </w:tc>
        <w:tc>
          <w:tcPr>
            <w:tcW w:w="1417" w:type="dxa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1</w:t>
            </w:r>
          </w:p>
        </w:tc>
        <w:tc>
          <w:tcPr>
            <w:tcW w:w="1701" w:type="dxa"/>
            <w:gridSpan w:val="2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2</w:t>
            </w:r>
          </w:p>
        </w:tc>
        <w:tc>
          <w:tcPr>
            <w:tcW w:w="2693" w:type="dxa"/>
            <w:gridSpan w:val="2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3</w:t>
            </w:r>
          </w:p>
        </w:tc>
        <w:tc>
          <w:tcPr>
            <w:tcW w:w="2694" w:type="dxa"/>
            <w:gridSpan w:val="3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4</w:t>
            </w:r>
          </w:p>
        </w:tc>
        <w:tc>
          <w:tcPr>
            <w:tcW w:w="2268" w:type="dxa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5</w:t>
            </w:r>
          </w:p>
        </w:tc>
        <w:tc>
          <w:tcPr>
            <w:tcW w:w="3060" w:type="dxa"/>
          </w:tcPr>
          <w:p w:rsidR="00D942A8" w:rsidRPr="005F2EE7" w:rsidRDefault="00D942A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6</w:t>
            </w:r>
          </w:p>
        </w:tc>
      </w:tr>
      <w:bookmarkEnd w:id="1"/>
      <w:tr w:rsidR="00905C3C" w:rsidRPr="005F2EE7" w:rsidTr="00025D4C">
        <w:tc>
          <w:tcPr>
            <w:tcW w:w="15388" w:type="dxa"/>
            <w:gridSpan w:val="11"/>
          </w:tcPr>
          <w:p w:rsidR="00905C3C" w:rsidRPr="005F2EE7" w:rsidRDefault="00905C3C" w:rsidP="0089608D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Health and Fitness</w:t>
            </w:r>
          </w:p>
        </w:tc>
      </w:tr>
      <w:tr w:rsidR="00F21FBA" w:rsidRPr="005F2EE7" w:rsidTr="00DA257A">
        <w:tc>
          <w:tcPr>
            <w:tcW w:w="1555" w:type="dxa"/>
          </w:tcPr>
          <w:p w:rsidR="00D942A8" w:rsidRPr="005F2EE7" w:rsidRDefault="005F2EE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Describe how the body feels when still and when exercising</w:t>
            </w:r>
          </w:p>
        </w:tc>
        <w:tc>
          <w:tcPr>
            <w:tcW w:w="1417" w:type="dxa"/>
          </w:tcPr>
          <w:p w:rsidR="0089608D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Describe how the body feels before, during and after exercise. </w:t>
            </w:r>
          </w:p>
          <w:p w:rsidR="00D942A8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Carry and place equipment safely.</w:t>
            </w:r>
          </w:p>
        </w:tc>
        <w:tc>
          <w:tcPr>
            <w:tcW w:w="1701" w:type="dxa"/>
            <w:gridSpan w:val="2"/>
          </w:tcPr>
          <w:p w:rsidR="0089608D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Recognise and describe how the body feels during and after different physical activities. </w:t>
            </w:r>
          </w:p>
          <w:p w:rsidR="00D942A8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Explain what they need to stay healthy.</w:t>
            </w:r>
          </w:p>
        </w:tc>
        <w:tc>
          <w:tcPr>
            <w:tcW w:w="2693" w:type="dxa"/>
            <w:gridSpan w:val="2"/>
          </w:tcPr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Recognise and describe the effects of exercise on the body. </w:t>
            </w:r>
          </w:p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Know the importance of strength and flexibility for physical activity.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Explain why it is important to warm up and cool down.</w:t>
            </w:r>
          </w:p>
        </w:tc>
        <w:tc>
          <w:tcPr>
            <w:tcW w:w="2694" w:type="dxa"/>
            <w:gridSpan w:val="3"/>
          </w:tcPr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Describe how the body reacts at different times and how this affects performance. </w:t>
            </w:r>
          </w:p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Explain why exercise is good for your health.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Know some reasons for warming up and cooling down</w:t>
            </w:r>
          </w:p>
        </w:tc>
        <w:tc>
          <w:tcPr>
            <w:tcW w:w="2268" w:type="dxa"/>
          </w:tcPr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Know and understand the reasons for warming up and cooling down.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Explain some safety principles when preparing for and during exercise.</w:t>
            </w:r>
          </w:p>
        </w:tc>
        <w:tc>
          <w:tcPr>
            <w:tcW w:w="3060" w:type="dxa"/>
          </w:tcPr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Understand the importance of warming up and cooling down. </w:t>
            </w:r>
          </w:p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Carry out warm-ups and cool-downs safely and effectively. </w:t>
            </w:r>
          </w:p>
          <w:p w:rsidR="0089608D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Understand why exercise is good for health, fitness and wellbeing.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Know ways they can become healthier.</w:t>
            </w:r>
          </w:p>
        </w:tc>
      </w:tr>
      <w:tr w:rsidR="00DA257A" w:rsidRPr="005F2EE7" w:rsidTr="00733748">
        <w:tc>
          <w:tcPr>
            <w:tcW w:w="15388" w:type="dxa"/>
            <w:gridSpan w:val="11"/>
          </w:tcPr>
          <w:p w:rsidR="00DA257A" w:rsidRPr="005F2EE7" w:rsidRDefault="00DA257A" w:rsidP="00DA257A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Running</w:t>
            </w:r>
          </w:p>
        </w:tc>
      </w:tr>
      <w:tr w:rsidR="00DA257A" w:rsidRPr="005F2EE7" w:rsidTr="00DA257A">
        <w:tc>
          <w:tcPr>
            <w:tcW w:w="1555" w:type="dxa"/>
          </w:tcPr>
          <w:p w:rsidR="00DA257A" w:rsidRPr="005F2EE7" w:rsidRDefault="005F2EE7" w:rsidP="00DA257A">
            <w:pPr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Run in different ways for a variety of purposes</w:t>
            </w:r>
          </w:p>
        </w:tc>
        <w:tc>
          <w:tcPr>
            <w:tcW w:w="2126" w:type="dxa"/>
            <w:gridSpan w:val="2"/>
          </w:tcPr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Vary their pace and speed when running.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Run with a basic technique over different distances.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Show good posture and balance.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Jog in a straight line.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Change direction when jogging.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Sprint in a straight line.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Change direction when sprinting. </w:t>
            </w: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Maintain control as they change direction when jogging or sprinting.</w:t>
            </w:r>
          </w:p>
        </w:tc>
        <w:tc>
          <w:tcPr>
            <w:tcW w:w="2551" w:type="dxa"/>
            <w:gridSpan w:val="2"/>
          </w:tcPr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Run at different paces, describing the different paces.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Use a variety of different stride lengths.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Travel at different speeds. </w:t>
            </w:r>
          </w:p>
          <w:p w:rsidR="00DA257A" w:rsidRPr="005F2EE7" w:rsidRDefault="00DA257A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Begin to select the most suitable pace and speed for distance.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Complete an obstacle course.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Vary the speed and direction in which they are travelling.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Run with basic techniques following a curved line.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b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Be able to maintain and control a run over different distances.</w:t>
            </w:r>
          </w:p>
        </w:tc>
        <w:tc>
          <w:tcPr>
            <w:tcW w:w="2127" w:type="dxa"/>
            <w:gridSpan w:val="2"/>
          </w:tcPr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Identify and demonstrate how different techniques can affect their performance.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Focus on their arm and leg action to improve their sprinting technique.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Begin to combine running with jumping over hurdles.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Focus on </w:t>
            </w:r>
            <w:proofErr w:type="spellStart"/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trail</w:t>
            </w:r>
            <w:proofErr w:type="spellEnd"/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 leg and lead leg action when running over hurdles.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b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Understand the importance of adjusting running pace to suit the distance being run.</w:t>
            </w:r>
          </w:p>
        </w:tc>
        <w:tc>
          <w:tcPr>
            <w:tcW w:w="1417" w:type="dxa"/>
          </w:tcPr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Confidently demonstrate an improved technique for sprinting.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Carry out an effective sprint finish.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 relay, focusing on the baton changeover technique.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b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Speed up and slow down smoothly.</w:t>
            </w:r>
          </w:p>
        </w:tc>
        <w:tc>
          <w:tcPr>
            <w:tcW w:w="2552" w:type="dxa"/>
            <w:gridSpan w:val="2"/>
          </w:tcPr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Accelerate from a variety of starting positions and select their preferred position.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Identify their reaction times when performing a sprint start.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Continue to practise and refine their technique for sprinting, focusing on an effective sprint start.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Select the most suitable pace for the distance and their fitness level in order to maintain a sustained run.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b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Identify and demonstrate stamina, explaining its importance for runners.</w:t>
            </w:r>
          </w:p>
        </w:tc>
        <w:tc>
          <w:tcPr>
            <w:tcW w:w="3060" w:type="dxa"/>
          </w:tcPr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Recap, practise and refine an effective sprinting technique, including reaction time.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Build up speed quickly for a sprint finish.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Run over hurdles with fluency, focusing on the lead leg technique and a consistent stride pattern.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Accelerate to pass other competitors.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Work as a team to competitively perform a relay.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Confidently and independently select the most appropriate pace for different distances and different parts of the run. </w:t>
            </w:r>
          </w:p>
          <w:p w:rsidR="00DA257A" w:rsidRPr="005F2EE7" w:rsidRDefault="005F2EE7" w:rsidP="00DA257A">
            <w:pPr>
              <w:rPr>
                <w:rFonts w:ascii="Arial Narrow" w:hAnsi="Arial Narrow"/>
                <w:b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DA257A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Demonstrate endurance and stamina over longer distances in order to maintain a sustained run.</w:t>
            </w:r>
          </w:p>
        </w:tc>
      </w:tr>
    </w:tbl>
    <w:p w:rsidR="005F2EE7" w:rsidRDefault="005F2EE7">
      <w:pPr>
        <w:rPr>
          <w:sz w:val="23"/>
          <w:szCs w:val="23"/>
        </w:rPr>
      </w:pPr>
    </w:p>
    <w:p w:rsidR="005F2EE7" w:rsidRDefault="005F2EE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725C1" w:rsidRPr="005F2EE7" w:rsidRDefault="007725C1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880"/>
        <w:gridCol w:w="283"/>
        <w:gridCol w:w="2127"/>
        <w:gridCol w:w="1134"/>
        <w:gridCol w:w="992"/>
        <w:gridCol w:w="709"/>
        <w:gridCol w:w="1275"/>
        <w:gridCol w:w="2835"/>
        <w:gridCol w:w="2919"/>
      </w:tblGrid>
      <w:tr w:rsidR="00DC70BA" w:rsidRPr="005F2EE7" w:rsidTr="00DA257A">
        <w:tc>
          <w:tcPr>
            <w:tcW w:w="1234" w:type="dxa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Reception</w:t>
            </w:r>
          </w:p>
        </w:tc>
        <w:tc>
          <w:tcPr>
            <w:tcW w:w="2163" w:type="dxa"/>
            <w:gridSpan w:val="2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1</w:t>
            </w:r>
          </w:p>
        </w:tc>
        <w:tc>
          <w:tcPr>
            <w:tcW w:w="3261" w:type="dxa"/>
            <w:gridSpan w:val="2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2</w:t>
            </w:r>
          </w:p>
        </w:tc>
        <w:tc>
          <w:tcPr>
            <w:tcW w:w="1701" w:type="dxa"/>
            <w:gridSpan w:val="2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3</w:t>
            </w:r>
          </w:p>
        </w:tc>
        <w:tc>
          <w:tcPr>
            <w:tcW w:w="1275" w:type="dxa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4</w:t>
            </w:r>
          </w:p>
        </w:tc>
        <w:tc>
          <w:tcPr>
            <w:tcW w:w="2835" w:type="dxa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5</w:t>
            </w:r>
          </w:p>
        </w:tc>
        <w:tc>
          <w:tcPr>
            <w:tcW w:w="2919" w:type="dxa"/>
          </w:tcPr>
          <w:p w:rsidR="007725C1" w:rsidRPr="005F2EE7" w:rsidRDefault="007725C1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6</w:t>
            </w:r>
          </w:p>
        </w:tc>
      </w:tr>
      <w:tr w:rsidR="007725C1" w:rsidRPr="005F2EE7" w:rsidTr="00984ED0">
        <w:tc>
          <w:tcPr>
            <w:tcW w:w="15388" w:type="dxa"/>
            <w:gridSpan w:val="10"/>
          </w:tcPr>
          <w:p w:rsidR="007725C1" w:rsidRPr="005F2EE7" w:rsidRDefault="007725C1" w:rsidP="007725C1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Jumping</w:t>
            </w:r>
          </w:p>
        </w:tc>
      </w:tr>
      <w:tr w:rsidR="00F21FBA" w:rsidRPr="005F2EE7" w:rsidTr="00DA257A">
        <w:tc>
          <w:tcPr>
            <w:tcW w:w="1234" w:type="dxa"/>
          </w:tcPr>
          <w:p w:rsidR="00D942A8" w:rsidRPr="005F2EE7" w:rsidRDefault="005F2EE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Jump in a range of ways, landing safely</w:t>
            </w:r>
          </w:p>
        </w:tc>
        <w:tc>
          <w:tcPr>
            <w:tcW w:w="2163" w:type="dxa"/>
            <w:gridSpan w:val="2"/>
          </w:tcPr>
          <w:p w:rsid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Perform different types of jumps: for example, two feet to two feet, two feet to one foot, one foot to same foot or one foot to opposite foot.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Perform a short jumping sequence. Jump as high as possible.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Jump as far as possible.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Land safely and with control. </w:t>
            </w:r>
          </w:p>
          <w:p w:rsidR="00D942A8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Work with a partner to develop the control of their jumps.</w:t>
            </w:r>
          </w:p>
        </w:tc>
        <w:tc>
          <w:tcPr>
            <w:tcW w:w="3261" w:type="dxa"/>
            <w:gridSpan w:val="2"/>
          </w:tcPr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Perform and compare different types of jumps: for example, two feet to two feet, two feet to one foot, one foot to same foot or one foot to opposite foot.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Combine different jumps together with some fluency and control.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Jump for distance from a standing position with accuracy and control.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Investigate the best jumps to cover different distances. </w:t>
            </w:r>
          </w:p>
          <w:p w:rsidR="007725C1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Choose the most appropriate jumps to cover different distances. </w:t>
            </w:r>
          </w:p>
          <w:p w:rsidR="00D942A8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Know that the leg muscles are used when performing a jumping action</w:t>
            </w:r>
            <w:r w:rsidR="007725C1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Use one and two feet to take off and to land with.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Develop an effective take-off for the standing long jump.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Develop an effective flight phase for the standing long jump.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Land safely and with control</w:t>
            </w:r>
          </w:p>
        </w:tc>
        <w:tc>
          <w:tcPr>
            <w:tcW w:w="1275" w:type="dxa"/>
          </w:tcPr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Learn how to combine a hop, step and jump to perform the standing triple jump.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Land safely and with control.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Begin to measure the distance jumped.</w:t>
            </w:r>
          </w:p>
        </w:tc>
        <w:tc>
          <w:tcPr>
            <w:tcW w:w="2835" w:type="dxa"/>
          </w:tcPr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Improve techniques for jumping for distance.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an effective standing long jump.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the standing triple jump with increased confidence.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Develop an effective technique for the standing vertical jump (jumping for height) including take-off and flight.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Land safely and with control.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Measure the distance and height jumped with accuracy. </w:t>
            </w:r>
          </w:p>
          <w:p w:rsidR="00D942A8" w:rsidRPr="005F2EE7" w:rsidRDefault="00905C3C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Investigate different jumping techniques.</w:t>
            </w:r>
          </w:p>
        </w:tc>
        <w:tc>
          <w:tcPr>
            <w:tcW w:w="2919" w:type="dxa"/>
          </w:tcPr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Develop the technique for the standing vertical jump.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Maintain control at each of the different stages of the triple jump.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Land safely and with control.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Develop and improve their techniques for jumping for height and distance and support others in improving their performance. </w:t>
            </w:r>
          </w:p>
          <w:p w:rsidR="007725C1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and apply different types of jumps in other contexts. </w:t>
            </w:r>
          </w:p>
          <w:p w:rsidR="00D942A8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Set up and lead jumping activities including measuring the jumps with confidence and accuracy.</w:t>
            </w:r>
          </w:p>
        </w:tc>
      </w:tr>
      <w:tr w:rsidR="00905C3C" w:rsidRPr="005F2EE7" w:rsidTr="007A3D68">
        <w:tc>
          <w:tcPr>
            <w:tcW w:w="15388" w:type="dxa"/>
            <w:gridSpan w:val="10"/>
          </w:tcPr>
          <w:p w:rsidR="00905C3C" w:rsidRPr="005F2EE7" w:rsidRDefault="00905C3C" w:rsidP="00DC70BA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Throwing</w:t>
            </w:r>
          </w:p>
        </w:tc>
      </w:tr>
      <w:tr w:rsidR="00905C3C" w:rsidRPr="005F2EE7" w:rsidTr="00DA257A">
        <w:tc>
          <w:tcPr>
            <w:tcW w:w="1234" w:type="dxa"/>
          </w:tcPr>
          <w:p w:rsidR="00DC70BA" w:rsidRPr="005F2EE7" w:rsidRDefault="005F2EE7">
            <w:pP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 xml:space="preserve">Roll equipment in different ways. </w:t>
            </w:r>
          </w:p>
          <w:p w:rsidR="005F2EE7" w:rsidRDefault="005F2EE7">
            <w:pP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 xml:space="preserve">Throw underarm. </w:t>
            </w:r>
          </w:p>
          <w:p w:rsidR="00905C3C" w:rsidRPr="005F2EE7" w:rsidRDefault="005F2EE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Throw an object at a target.</w:t>
            </w:r>
          </w:p>
        </w:tc>
        <w:tc>
          <w:tcPr>
            <w:tcW w:w="1880" w:type="dxa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Throw underarm and overarm. </w:t>
            </w:r>
          </w:p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Throw a ball towards a target with increasing accuracy.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Improve the distance they can throw by using more power.</w:t>
            </w:r>
          </w:p>
        </w:tc>
        <w:tc>
          <w:tcPr>
            <w:tcW w:w="2410" w:type="dxa"/>
            <w:gridSpan w:val="2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Throw different types of equipment in different ways, for accuracy and distance. </w:t>
            </w:r>
          </w:p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Throw with accuracy at targets of different heights. 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Investigate ways to alter their throwing technique to achieve greater distance.</w:t>
            </w:r>
          </w:p>
        </w:tc>
        <w:tc>
          <w:tcPr>
            <w:tcW w:w="2126" w:type="dxa"/>
            <w:gridSpan w:val="2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Throw with greater control and accuracy.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Show increasing control in their overarm throw.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 push throw.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Continue to develop techniques to throw for increased distance.</w:t>
            </w:r>
          </w:p>
        </w:tc>
        <w:tc>
          <w:tcPr>
            <w:tcW w:w="1984" w:type="dxa"/>
            <w:gridSpan w:val="2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 pull throw.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Measure the distance of their throws.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Continue to develop techniques to throw for increased distance.</w:t>
            </w:r>
          </w:p>
        </w:tc>
        <w:tc>
          <w:tcPr>
            <w:tcW w:w="2835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 fling throw. </w:t>
            </w:r>
          </w:p>
          <w:p w:rsidR="00DC70BA" w:rsidRPr="005F2EE7" w:rsidRDefault="00905C3C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Throw a variety of implements using a range of throwing techniques.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Measure and record the distance of their throws.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Continue to develop techniques to throw for increased distance.</w:t>
            </w:r>
          </w:p>
        </w:tc>
        <w:tc>
          <w:tcPr>
            <w:tcW w:w="2919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 heave throw.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Measure and record the distance of their throws. </w:t>
            </w:r>
          </w:p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Continue to develop techniques to throw for increased distance and support others in improving their personal best.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Develop and refine techniques to throw for accuracy.</w:t>
            </w:r>
          </w:p>
        </w:tc>
      </w:tr>
    </w:tbl>
    <w:p w:rsidR="00DC70BA" w:rsidRPr="005F2EE7" w:rsidRDefault="00DC70BA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557"/>
        <w:gridCol w:w="2536"/>
        <w:gridCol w:w="1853"/>
        <w:gridCol w:w="2508"/>
        <w:gridCol w:w="43"/>
        <w:gridCol w:w="2352"/>
      </w:tblGrid>
      <w:tr w:rsidR="00DC70BA" w:rsidRPr="005F2EE7" w:rsidTr="00174DB1">
        <w:tc>
          <w:tcPr>
            <w:tcW w:w="1555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Reception</w:t>
            </w:r>
          </w:p>
        </w:tc>
        <w:tc>
          <w:tcPr>
            <w:tcW w:w="1984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1</w:t>
            </w:r>
          </w:p>
        </w:tc>
        <w:tc>
          <w:tcPr>
            <w:tcW w:w="2557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2</w:t>
            </w:r>
          </w:p>
        </w:tc>
        <w:tc>
          <w:tcPr>
            <w:tcW w:w="2536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3</w:t>
            </w:r>
          </w:p>
        </w:tc>
        <w:tc>
          <w:tcPr>
            <w:tcW w:w="1853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4</w:t>
            </w:r>
          </w:p>
        </w:tc>
        <w:tc>
          <w:tcPr>
            <w:tcW w:w="2508" w:type="dxa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5</w:t>
            </w:r>
          </w:p>
        </w:tc>
        <w:tc>
          <w:tcPr>
            <w:tcW w:w="2395" w:type="dxa"/>
            <w:gridSpan w:val="2"/>
          </w:tcPr>
          <w:p w:rsidR="00DC70BA" w:rsidRPr="005F2EE7" w:rsidRDefault="00DC70BA" w:rsidP="00762BE2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Year 6</w:t>
            </w:r>
          </w:p>
        </w:tc>
      </w:tr>
      <w:tr w:rsidR="00DC70BA" w:rsidRPr="005F2EE7" w:rsidTr="00D40D30">
        <w:tc>
          <w:tcPr>
            <w:tcW w:w="15388" w:type="dxa"/>
            <w:gridSpan w:val="8"/>
          </w:tcPr>
          <w:p w:rsidR="00DC70BA" w:rsidRPr="005F2EE7" w:rsidRDefault="00DC70BA" w:rsidP="00DC70BA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Compete/Perform</w:t>
            </w:r>
          </w:p>
        </w:tc>
      </w:tr>
      <w:tr w:rsidR="00DC70BA" w:rsidRPr="005F2EE7" w:rsidTr="00174DB1">
        <w:tc>
          <w:tcPr>
            <w:tcW w:w="1555" w:type="dxa"/>
          </w:tcPr>
          <w:p w:rsidR="00DC70BA" w:rsidRPr="005F2EE7" w:rsidRDefault="005F2EE7">
            <w:pP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 xml:space="preserve">Control their body when performing a sequence of movements </w:t>
            </w:r>
          </w:p>
          <w:p w:rsidR="00905C3C" w:rsidRPr="005F2EE7" w:rsidRDefault="005F2EE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Participate in simple games</w:t>
            </w:r>
          </w:p>
        </w:tc>
        <w:tc>
          <w:tcPr>
            <w:tcW w:w="1984" w:type="dxa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Begin to perform learnt skills with some control. 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Engage in competitive activities and team games.</w:t>
            </w:r>
          </w:p>
        </w:tc>
        <w:tc>
          <w:tcPr>
            <w:tcW w:w="2557" w:type="dxa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Perform learnt skills with increasing control. 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Compete against self and others.</w:t>
            </w:r>
          </w:p>
        </w:tc>
        <w:tc>
          <w:tcPr>
            <w:tcW w:w="2536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learnt skills and techniques with control and confidence.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Compete against self and others in a controlled manner.</w:t>
            </w:r>
          </w:p>
        </w:tc>
        <w:tc>
          <w:tcPr>
            <w:tcW w:w="1853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and apply skills and techniques with control and accuracy.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Take part in a range of competitive games and activities.</w:t>
            </w:r>
          </w:p>
        </w:tc>
        <w:tc>
          <w:tcPr>
            <w:tcW w:w="2551" w:type="dxa"/>
            <w:gridSpan w:val="2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Consistently perform and apply skills and techniques with accuracy and control.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Take part in competitive games with a strong understanding of tactics and composition.</w:t>
            </w:r>
          </w:p>
        </w:tc>
        <w:tc>
          <w:tcPr>
            <w:tcW w:w="2352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Perform and apply a variety of skills and techniques confidently, consistently and with precision.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Take part in competitive games with a strong understanding of tactics and composition.</w:t>
            </w:r>
          </w:p>
        </w:tc>
      </w:tr>
      <w:tr w:rsidR="00905C3C" w:rsidRPr="005F2EE7" w:rsidTr="00607C43">
        <w:tc>
          <w:tcPr>
            <w:tcW w:w="15388" w:type="dxa"/>
            <w:gridSpan w:val="8"/>
          </w:tcPr>
          <w:p w:rsidR="00905C3C" w:rsidRPr="005F2EE7" w:rsidRDefault="00905C3C" w:rsidP="00DC70BA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F2EE7">
              <w:rPr>
                <w:rFonts w:ascii="Arial Narrow" w:hAnsi="Arial Narrow"/>
                <w:b/>
                <w:sz w:val="23"/>
                <w:szCs w:val="23"/>
              </w:rPr>
              <w:t>Evaluate</w:t>
            </w:r>
          </w:p>
        </w:tc>
      </w:tr>
      <w:tr w:rsidR="00DC70BA" w:rsidRPr="005F2EE7" w:rsidTr="00174DB1">
        <w:tc>
          <w:tcPr>
            <w:tcW w:w="1555" w:type="dxa"/>
          </w:tcPr>
          <w:p w:rsidR="00DC70BA" w:rsidRPr="005F2EE7" w:rsidRDefault="005F2EE7">
            <w:pP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 xml:space="preserve">Talk about what they have done. </w:t>
            </w:r>
          </w:p>
          <w:p w:rsidR="00905C3C" w:rsidRPr="005F2EE7" w:rsidRDefault="005F2EE7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1F3864" w:themeColor="accent1" w:themeShade="80"/>
                <w:sz w:val="23"/>
                <w:szCs w:val="23"/>
              </w:rPr>
              <w:t>Talk about what others have done.</w:t>
            </w:r>
          </w:p>
        </w:tc>
        <w:tc>
          <w:tcPr>
            <w:tcW w:w="1984" w:type="dxa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Watch and describe performances. 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Begin to say how they could improve</w:t>
            </w:r>
          </w:p>
        </w:tc>
        <w:tc>
          <w:tcPr>
            <w:tcW w:w="2557" w:type="dxa"/>
          </w:tcPr>
          <w:p w:rsidR="00DC70BA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Watch and describe </w:t>
            </w:r>
            <w:proofErr w:type="gramStart"/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performances, and</w:t>
            </w:r>
            <w:proofErr w:type="gramEnd"/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 xml:space="preserve"> use what they see to improve their own performance. </w:t>
            </w:r>
          </w:p>
          <w:p w:rsidR="00905C3C" w:rsidRPr="005F2EE7" w:rsidRDefault="005F2EE7">
            <w:pP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</w:pPr>
            <w:r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2F5496" w:themeColor="accent1" w:themeShade="BF"/>
                <w:sz w:val="23"/>
                <w:szCs w:val="23"/>
              </w:rPr>
              <w:t>Talk about the differences between their work and that of others.</w:t>
            </w:r>
          </w:p>
        </w:tc>
        <w:tc>
          <w:tcPr>
            <w:tcW w:w="2536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Watch, describe and evaluate the effectiveness of a performance.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Describe how their performance has improved over time.</w:t>
            </w:r>
          </w:p>
        </w:tc>
        <w:tc>
          <w:tcPr>
            <w:tcW w:w="1853" w:type="dxa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Watch, describe and evaluate the effectiveness of performances, giving ideas for improvements.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Modify their use of skills or techniques to achieve a better result</w:t>
            </w:r>
          </w:p>
        </w:tc>
        <w:tc>
          <w:tcPr>
            <w:tcW w:w="2551" w:type="dxa"/>
            <w:gridSpan w:val="2"/>
          </w:tcPr>
          <w:p w:rsidR="00DC70BA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Choose and use criteria to evaluate own and others’ performance. </w:t>
            </w:r>
          </w:p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Explain why they have used </w:t>
            </w:r>
            <w:proofErr w:type="gramStart"/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particular skills</w:t>
            </w:r>
            <w:proofErr w:type="gramEnd"/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 xml:space="preserve"> or techniques, and the effect they have had on their performance.</w:t>
            </w:r>
          </w:p>
        </w:tc>
        <w:tc>
          <w:tcPr>
            <w:tcW w:w="2352" w:type="dxa"/>
          </w:tcPr>
          <w:p w:rsidR="00905C3C" w:rsidRPr="005F2EE7" w:rsidRDefault="005F2EE7">
            <w:pP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</w:pPr>
            <w:r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-</w:t>
            </w:r>
            <w:r w:rsidR="00905C3C" w:rsidRPr="005F2EE7">
              <w:rPr>
                <w:rFonts w:ascii="Arial Narrow" w:hAnsi="Arial Narrow"/>
                <w:color w:val="8EAADB" w:themeColor="accent1" w:themeTint="99"/>
                <w:sz w:val="23"/>
                <w:szCs w:val="23"/>
              </w:rPr>
              <w:t>Thoroughly evaluate their own and others’ work, suggesting thoughtful and appropriate improvements.</w:t>
            </w:r>
          </w:p>
        </w:tc>
      </w:tr>
    </w:tbl>
    <w:p w:rsidR="00697C36" w:rsidRPr="005F2EE7" w:rsidRDefault="001A1C0D">
      <w:pPr>
        <w:rPr>
          <w:rFonts w:ascii="Arial Narrow" w:hAnsi="Arial Narrow"/>
          <w:sz w:val="23"/>
          <w:szCs w:val="23"/>
        </w:rPr>
      </w:pPr>
    </w:p>
    <w:sectPr w:rsidR="00697C36" w:rsidRPr="005F2EE7" w:rsidSect="00D942A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0D" w:rsidRDefault="001A1C0D" w:rsidP="009317F9">
      <w:pPr>
        <w:spacing w:after="0" w:line="240" w:lineRule="auto"/>
      </w:pPr>
      <w:r>
        <w:separator/>
      </w:r>
    </w:p>
  </w:endnote>
  <w:endnote w:type="continuationSeparator" w:id="0">
    <w:p w:rsidR="001A1C0D" w:rsidRDefault="001A1C0D" w:rsidP="0093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0D" w:rsidRDefault="001A1C0D" w:rsidP="009317F9">
      <w:pPr>
        <w:spacing w:after="0" w:line="240" w:lineRule="auto"/>
      </w:pPr>
      <w:r>
        <w:separator/>
      </w:r>
    </w:p>
  </w:footnote>
  <w:footnote w:type="continuationSeparator" w:id="0">
    <w:p w:rsidR="001A1C0D" w:rsidRDefault="001A1C0D" w:rsidP="0093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F9" w:rsidRDefault="009317F9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388"/>
    </w:tblGrid>
    <w:tr w:rsidR="009317F9" w:rsidRPr="009317F9" w:rsidTr="002F00AB">
      <w:tc>
        <w:tcPr>
          <w:tcW w:w="15388" w:type="dxa"/>
        </w:tcPr>
        <w:p w:rsidR="009317F9" w:rsidRPr="009317F9" w:rsidRDefault="009317F9" w:rsidP="009317F9">
          <w:pPr>
            <w:jc w:val="center"/>
            <w:rPr>
              <w:rFonts w:ascii="Segoe Print" w:hAnsi="Segoe Print"/>
              <w:sz w:val="28"/>
              <w:szCs w:val="28"/>
            </w:rPr>
          </w:pPr>
          <w:proofErr w:type="spellStart"/>
          <w:r w:rsidRPr="009317F9">
            <w:rPr>
              <w:rFonts w:ascii="Segoe Print" w:hAnsi="Segoe Print"/>
              <w:sz w:val="28"/>
              <w:szCs w:val="28"/>
            </w:rPr>
            <w:t>Bramingham</w:t>
          </w:r>
          <w:proofErr w:type="spellEnd"/>
          <w:r w:rsidRPr="009317F9">
            <w:rPr>
              <w:rFonts w:ascii="Segoe Print" w:hAnsi="Segoe Print"/>
              <w:sz w:val="28"/>
              <w:szCs w:val="28"/>
            </w:rPr>
            <w:t xml:space="preserve"> Progression of ATHLETICS </w:t>
          </w:r>
          <w:r>
            <w:rPr>
              <w:rFonts w:ascii="Segoe Print" w:hAnsi="Segoe Print"/>
              <w:sz w:val="28"/>
              <w:szCs w:val="28"/>
            </w:rPr>
            <w:t>S</w:t>
          </w:r>
          <w:r w:rsidRPr="009317F9">
            <w:rPr>
              <w:rFonts w:ascii="Segoe Print" w:hAnsi="Segoe Print"/>
              <w:sz w:val="28"/>
              <w:szCs w:val="28"/>
            </w:rPr>
            <w:t xml:space="preserve">kills </w:t>
          </w:r>
        </w:p>
      </w:tc>
    </w:tr>
  </w:tbl>
  <w:p w:rsidR="009317F9" w:rsidRDefault="00931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A8"/>
    <w:rsid w:val="000221EE"/>
    <w:rsid w:val="000D1F69"/>
    <w:rsid w:val="001500F3"/>
    <w:rsid w:val="00174DB1"/>
    <w:rsid w:val="001A1C0D"/>
    <w:rsid w:val="004A0F19"/>
    <w:rsid w:val="005F2EE7"/>
    <w:rsid w:val="006C5F9B"/>
    <w:rsid w:val="007725C1"/>
    <w:rsid w:val="007D3584"/>
    <w:rsid w:val="00846663"/>
    <w:rsid w:val="0089608D"/>
    <w:rsid w:val="008B4E68"/>
    <w:rsid w:val="00905C3C"/>
    <w:rsid w:val="009317F9"/>
    <w:rsid w:val="00C478FF"/>
    <w:rsid w:val="00D942A8"/>
    <w:rsid w:val="00DA257A"/>
    <w:rsid w:val="00DC174F"/>
    <w:rsid w:val="00DC70BA"/>
    <w:rsid w:val="00DD354E"/>
    <w:rsid w:val="00DE70F2"/>
    <w:rsid w:val="00E07D51"/>
    <w:rsid w:val="00F21FB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D71A"/>
  <w15:chartTrackingRefBased/>
  <w15:docId w15:val="{4D032198-DF5D-49EB-B92D-37C47E1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F9"/>
  </w:style>
  <w:style w:type="paragraph" w:styleId="Footer">
    <w:name w:val="footer"/>
    <w:basedOn w:val="Normal"/>
    <w:link w:val="FooterChar"/>
    <w:uiPriority w:val="99"/>
    <w:unhideWhenUsed/>
    <w:rsid w:val="0093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F9"/>
  </w:style>
  <w:style w:type="paragraph" w:styleId="BalloonText">
    <w:name w:val="Balloon Text"/>
    <w:basedOn w:val="Normal"/>
    <w:link w:val="BalloonTextChar"/>
    <w:uiPriority w:val="99"/>
    <w:semiHidden/>
    <w:unhideWhenUsed/>
    <w:rsid w:val="0090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ZAJAC</dc:creator>
  <cp:keywords/>
  <dc:description/>
  <cp:lastModifiedBy>Gemma Zajac</cp:lastModifiedBy>
  <cp:revision>9</cp:revision>
  <dcterms:created xsi:type="dcterms:W3CDTF">2019-06-21T13:04:00Z</dcterms:created>
  <dcterms:modified xsi:type="dcterms:W3CDTF">2019-08-28T21:32:00Z</dcterms:modified>
</cp:coreProperties>
</file>